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22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黑体"/>
          <w:b/>
          <w:bCs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b/>
          <w:bCs/>
          <w:color w:val="000000"/>
          <w:sz w:val="36"/>
          <w:szCs w:val="36"/>
        </w:rPr>
        <w:t>栾樨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3" w:name="_GoBack"/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Luanxi</w:t>
      </w:r>
    </w:p>
    <w:bookmarkEnd w:id="3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>PLUCHEAE HERBA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本品为菊科植物阔苞菊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Pluchea indica</w:t>
      </w:r>
      <w:r>
        <w:rPr>
          <w:rFonts w:hint="default" w:ascii="Times New Roman" w:hAnsi="Times New Roman" w:cs="Times New Roman"/>
          <w:sz w:val="24"/>
          <w:szCs w:val="24"/>
        </w:rPr>
        <w:t xml:space="preserve"> (L.) Less.的干燥全草。</w:t>
      </w:r>
      <w:r>
        <w:rPr>
          <w:rFonts w:hint="default" w:ascii="Times New Roman" w:hAnsi="Times New Roman" w:cs="Times New Roman"/>
          <w:color w:val="000000"/>
          <w:sz w:val="24"/>
        </w:rPr>
        <w:t>全年可采，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，</w:t>
      </w:r>
      <w:r>
        <w:rPr>
          <w:rFonts w:hint="default" w:ascii="Times New Roman" w:hAnsi="Times New Roman" w:cs="Times New Roman"/>
          <w:color w:val="000000"/>
          <w:sz w:val="24"/>
        </w:rPr>
        <w:t>干燥。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cs="Times New Roman"/>
          <w:sz w:val="24"/>
          <w:szCs w:val="24"/>
        </w:rPr>
        <w:t>本品主根不明显，侧根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呈</w:t>
      </w:r>
      <w:r>
        <w:rPr>
          <w:rFonts w:hint="default" w:ascii="Times New Roman" w:hAnsi="Times New Roman" w:cs="Times New Roman"/>
          <w:sz w:val="24"/>
          <w:szCs w:val="24"/>
        </w:rPr>
        <w:t>长圆柱形，多弯曲，直径0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.3～1.5</w:t>
      </w:r>
      <w:r>
        <w:rPr>
          <w:rFonts w:hint="default" w:ascii="Times New Roman" w:hAnsi="Times New Roman" w:cs="Times New Roman"/>
          <w:sz w:val="24"/>
          <w:szCs w:val="24"/>
        </w:rPr>
        <w:t>cm，表面黄棕色至黄褐色，有明显的纵皱纹及须根痕。茎呈圆柱形，直径0.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3～</w:t>
      </w:r>
      <w:r>
        <w:rPr>
          <w:rFonts w:hint="default" w:ascii="Times New Roman" w:hAnsi="Times New Roman" w:cs="Times New Roman"/>
          <w:sz w:val="24"/>
          <w:szCs w:val="24"/>
        </w:rPr>
        <w:t>3cm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表面灰棕色、黄棕色或棕色，有明显细沟纹，幼枝被丝状毛；质脆，断面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棕</w:t>
      </w:r>
      <w:r>
        <w:rPr>
          <w:rFonts w:hint="default" w:ascii="Times New Roman" w:hAnsi="Times New Roman" w:cs="Times New Roman"/>
          <w:sz w:val="24"/>
          <w:szCs w:val="24"/>
        </w:rPr>
        <w:t>黄色，中部有髓。叶皱缩，多破碎，完整叶片展平后呈卵形、倒卵状椭圆形或倒披针形，长1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 w:val="24"/>
          <w:szCs w:val="24"/>
        </w:rPr>
        <w:t>8cm，宽1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 w:val="24"/>
          <w:szCs w:val="24"/>
        </w:rPr>
        <w:t>4cm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边缘有不规则锯齿，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表面被丝状毛。</w:t>
      </w:r>
      <w:r>
        <w:rPr>
          <w:rFonts w:hint="default" w:ascii="Times New Roman" w:hAnsi="Times New Roman" w:cs="Times New Roman"/>
          <w:sz w:val="24"/>
          <w:szCs w:val="24"/>
        </w:rPr>
        <w:t>气清香，味淡。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yellow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color w:val="000000"/>
          <w:sz w:val="24"/>
        </w:rPr>
        <w:t>（1）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根横切面：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none"/>
        </w:rPr>
        <w:t>木栓层为数列黄棕色细胞。皮层较宽，薄壁细胞内含橙黄色分泌物。内皮层明显，1</w:t>
      </w:r>
      <w:r>
        <w:rPr>
          <w:rFonts w:hint="eastAsia" w:ascii="Times New Roman" w:hAnsi="Times New Roman" w:cs="Times New Roman" w:eastAsiaTheme="majorEastAsia"/>
          <w:color w:val="000000"/>
          <w:sz w:val="24"/>
          <w:szCs w:val="24"/>
          <w:highlight w:val="none"/>
          <w:lang w:val="en-US" w:eastAsia="zh-CN"/>
        </w:rPr>
        <w:t>～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none"/>
        </w:rPr>
        <w:t>2列细胞，外侧可见分泌腔散在。韧皮部较窄，韧皮纤维束断续排列成环。木质部导管放射状排列，木射线2～6列。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粉末黄棕色。非腺毛多碎断，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完整者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由5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～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30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个细胞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组成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，多弯曲，有时缢缩。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叶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表皮细胞多角形，垂周壁平直，气孔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多为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不定式或不等式。纤维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成束或散在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，壁厚。木栓细胞类多角形或类长方形，淡黄色至棕黄色。导管主要为具缘纹孔导管和网纹导管。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（2）取本品粉末0.5g，加50%乙醇20ml，超声处理30分钟，滤过，滤液蒸干，残渣加甲醇2ml使溶解，作为供试品溶液。另取栾樨对照药材0.5g，同法制成对照药材溶液。照薄层色谱法（《中国药典》2025年版通则0502）试验，吸取上述两种溶液各5</w:t>
      </w:r>
      <w:r>
        <w:rPr>
          <w:rFonts w:hint="default" w:ascii="Times New Roman" w:hAnsi="Times New Roman" w:cs="Times New Roman"/>
          <w:color w:val="000000"/>
          <w:sz w:val="24"/>
        </w:rPr>
        <w:t>～10μl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，分别点于同一硅胶</w:t>
      </w:r>
      <w:r>
        <w:rPr>
          <w:rFonts w:hint="default" w:ascii="Times New Roman" w:hAnsi="Times New Roman" w:cs="Times New Roman" w:eastAsiaTheme="majorEastAsia"/>
          <w:sz w:val="24"/>
          <w:szCs w:val="24"/>
        </w:rPr>
        <w:t>G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薄层板上，以乙酸丁酯-甲酸-水（7.5:2.5:2.5）上层溶液为展开剂，展开，取出，晾干。喷以5%三氯化铝乙醇试液，热风吹干，置紫外光灯（365nm）下检视。供试品色谱中，在与对照药材色谱相应的位置上，显相同颜色的荧光斑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不得过13.0%（《中国药典》2025年版通则0832第二法）。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</w:t>
      </w:r>
      <w:r>
        <w:rPr>
          <w:rFonts w:hint="default" w:ascii="Times New Roman" w:hAnsi="Times New Roman" w:cs="Times New Roman"/>
          <w:color w:val="000000"/>
          <w:sz w:val="24"/>
          <w:highlight w:val="none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.0%</w:t>
      </w:r>
      <w:r>
        <w:rPr>
          <w:rFonts w:hint="default" w:ascii="Times New Roman" w:hAnsi="Times New Roman" w:cs="Times New Roman"/>
          <w:color w:val="000000"/>
          <w:sz w:val="24"/>
        </w:rPr>
        <w:t>（</w:t>
      </w:r>
      <w:bookmarkStart w:id="0" w:name="OLE_LINK120"/>
      <w:r>
        <w:rPr>
          <w:rFonts w:hint="default" w:ascii="Times New Roman" w:hAnsi="Times New Roman" w:cs="Times New Roman"/>
          <w:color w:val="000000"/>
          <w:sz w:val="24"/>
        </w:rPr>
        <w:t>《中国药典》2025年版通则230</w:t>
      </w:r>
      <w:bookmarkEnd w:id="0"/>
      <w:r>
        <w:rPr>
          <w:rFonts w:hint="default" w:ascii="Times New Roman" w:hAnsi="Times New Roman" w:cs="Times New Roman"/>
          <w:color w:val="000000"/>
          <w:sz w:val="24"/>
        </w:rPr>
        <w:t>2）。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酸不溶性灰分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不得过3.0%（</w:t>
      </w:r>
      <w:bookmarkStart w:id="1" w:name="OLE_LINK122"/>
      <w:bookmarkStart w:id="2" w:name="OLE_LINK123"/>
      <w:r>
        <w:rPr>
          <w:rFonts w:hint="default" w:ascii="Times New Roman" w:hAnsi="Times New Roman" w:cs="Times New Roman"/>
          <w:color w:val="000000"/>
          <w:sz w:val="24"/>
        </w:rPr>
        <w:t>《中国药典》2025年版通则230</w:t>
      </w:r>
      <w:bookmarkEnd w:id="1"/>
      <w:bookmarkEnd w:id="2"/>
      <w:r>
        <w:rPr>
          <w:rFonts w:hint="default" w:ascii="Times New Roman" w:hAnsi="Times New Roman" w:cs="Times New Roman"/>
          <w:color w:val="000000"/>
          <w:sz w:val="24"/>
        </w:rPr>
        <w:t>2）。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cs="Times New Roman"/>
          <w:color w:val="000000"/>
          <w:sz w:val="24"/>
        </w:rPr>
        <w:t>照水溶性浸出物测定法（《中国药典》2025年版通则2201）项下的热浸法测定，不得少于</w:t>
      </w:r>
      <w:r>
        <w:rPr>
          <w:rFonts w:hint="default" w:ascii="Times New Roman" w:hAnsi="Times New Roman" w:cs="Times New Roman"/>
          <w:sz w:val="24"/>
        </w:rPr>
        <w:t>25.0%</w:t>
      </w:r>
      <w:r>
        <w:rPr>
          <w:rFonts w:hint="default" w:ascii="Times New Roman" w:hAnsi="Times New Roman" w:cs="Times New Roman"/>
          <w:color w:val="00000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【含量测定】</w:t>
      </w:r>
      <w:r>
        <w:rPr>
          <w:rFonts w:hint="default" w:ascii="Times New Roman" w:hAnsi="Times New Roman" w:cs="Times New Roman"/>
          <w:sz w:val="24"/>
        </w:rPr>
        <w:t>照高效液相色谱法（《中国药典》2025年版通则0512）测定。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黑体" w:cs="Times New Roman"/>
          <w:sz w:val="24"/>
        </w:rPr>
        <w:t>色谱条件与系统适用性试验</w:t>
      </w:r>
      <w:r>
        <w:rPr>
          <w:rFonts w:hint="default" w:ascii="Times New Roman" w:hAnsi="Times New Roman" w:cs="Times New Roman"/>
          <w:sz w:val="24"/>
        </w:rPr>
        <w:t xml:space="preserve">  以十八烷基硅烷键合硅胶为填充剂；以乙腈为流动相A，0.4%磷酸溶液为流动相B，按下表中的规定进行梯度洗脱；检测波长为327nm。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理论板数按</w:t>
      </w:r>
      <w:r>
        <w:rPr>
          <w:rFonts w:hint="default" w:ascii="Times New Roman" w:hAnsi="Times New Roman" w:cs="Times New Roman"/>
          <w:bCs/>
          <w:sz w:val="24"/>
          <w:szCs w:val="24"/>
        </w:rPr>
        <w:t>绿原酸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峰计算应不低于</w:t>
      </w:r>
      <w:r>
        <w:rPr>
          <w:rFonts w:hint="default" w:ascii="Times New Roman" w:hAnsi="Times New Roman" w:cs="Times New Roman"/>
          <w:sz w:val="24"/>
          <w:szCs w:val="24"/>
        </w:rPr>
        <w:t>6000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。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41"/>
        <w:gridCol w:w="284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bottom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时间（分钟）</w:t>
            </w:r>
          </w:p>
        </w:tc>
        <w:tc>
          <w:tcPr>
            <w:tcW w:w="1667" w:type="pct"/>
            <w:tcBorders>
              <w:bottom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流动相A（%）</w:t>
            </w:r>
          </w:p>
        </w:tc>
        <w:tc>
          <w:tcPr>
            <w:tcW w:w="1667" w:type="pct"/>
            <w:tcBorders>
              <w:bottom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流动相B（%）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0～10</w:t>
            </w:r>
          </w:p>
        </w:tc>
        <w:tc>
          <w:tcPr>
            <w:tcW w:w="1667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667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10～15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11→20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89→80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15～40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对照品溶液的制备</w:t>
      </w:r>
      <w:r>
        <w:rPr>
          <w:rFonts w:hint="default" w:ascii="Times New Roman" w:hAnsi="Times New Roman" w:cs="Times New Roman"/>
          <w:sz w:val="24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>取绿原酸对照品、3,4-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、3,5-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、4,5-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适量，精密称定，分别加70%甲醇制成每1ml含绿原酸25μg、3,4-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对照品25</w:t>
      </w:r>
      <w:r>
        <w:rPr>
          <w:rFonts w:hint="default" w:ascii="Times New Roman" w:hAnsi="Times New Roman" w:cs="Times New Roman"/>
          <w:bCs/>
          <w:sz w:val="24"/>
          <w:szCs w:val="24"/>
        </w:rPr>
        <w:t>μg、3,5-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50μg、4,5-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对照品50</w:t>
      </w:r>
      <w:r>
        <w:rPr>
          <w:rFonts w:hint="default" w:ascii="Times New Roman" w:hAnsi="Times New Roman" w:cs="Times New Roman"/>
          <w:bCs/>
          <w:sz w:val="24"/>
          <w:szCs w:val="24"/>
        </w:rPr>
        <w:t>μg的溶液，即得。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</w:rPr>
        <w:t>供试品溶液的制备</w:t>
      </w:r>
      <w:r>
        <w:rPr>
          <w:rFonts w:hint="default" w:ascii="Times New Roman" w:hAnsi="Times New Roman" w:cs="Times New Roman"/>
          <w:sz w:val="24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取本品粉末（过二号筛）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约0.5g，精密称定，置具塞锥形瓶中，精密加入70%甲醇50ml，密塞，称定重量，超声处理（功率480W，频率40kHz）30分钟，放冷，再称定重量，用70%甲醇补足减失的重量，摇匀，滤过，取续滤液，即得。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测定法</w:t>
      </w:r>
      <w:r>
        <w:rPr>
          <w:rFonts w:hint="default" w:ascii="Times New Roman" w:hAnsi="Times New Roman" w:cs="Times New Roman"/>
          <w:sz w:val="24"/>
        </w:rPr>
        <w:t xml:space="preserve">  分别精密吸取对照品溶液与供试品溶液各10µ1，注入液相色谱仪，测定，即得。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sz w:val="24"/>
        </w:rPr>
        <w:t>本品按干燥品计算，</w:t>
      </w:r>
      <w:r>
        <w:rPr>
          <w:rFonts w:hint="default" w:ascii="Times New Roman" w:hAnsi="Times New Roman" w:cs="Times New Roman"/>
          <w:kern w:val="0"/>
          <w:sz w:val="24"/>
        </w:rPr>
        <w:t>含酚酸类以绿原酸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16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18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9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、</w:t>
      </w:r>
      <w:r>
        <w:rPr>
          <w:rFonts w:hint="default" w:ascii="Times New Roman" w:hAnsi="Times New Roman" w:cs="Times New Roman"/>
          <w:bCs/>
          <w:sz w:val="24"/>
          <w:szCs w:val="24"/>
        </w:rPr>
        <w:t>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bCs/>
          <w:sz w:val="24"/>
          <w:szCs w:val="24"/>
        </w:rPr>
        <w:t>、</w:t>
      </w:r>
      <w:r>
        <w:rPr>
          <w:rFonts w:hint="default" w:ascii="Times New Roman" w:hAnsi="Times New Roman" w:cs="Times New Roman"/>
          <w:kern w:val="0"/>
          <w:sz w:val="24"/>
        </w:rPr>
        <w:t>3,5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-O</w:t>
      </w:r>
      <w:r>
        <w:rPr>
          <w:rFonts w:hint="default" w:ascii="Times New Roman" w:hAnsi="Times New Roman" w:cs="Times New Roman"/>
          <w:kern w:val="0"/>
          <w:sz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和4,5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-O</w:t>
      </w:r>
      <w:r>
        <w:rPr>
          <w:rFonts w:hint="default" w:ascii="Times New Roman" w:hAnsi="Times New Roman" w:cs="Times New Roman"/>
          <w:kern w:val="0"/>
          <w:sz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的总量计，不得少于0.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9</w:t>
      </w:r>
      <w:r>
        <w:rPr>
          <w:rFonts w:hint="eastAsia" w:ascii="Times New Roman" w:hAnsi="Times New Roman" w:cs="Times New Roman"/>
          <w:kern w:val="0"/>
          <w:sz w:val="24"/>
          <w:lang w:val="en-US" w:eastAsia="zh-CN"/>
        </w:rPr>
        <w:t>0</w:t>
      </w:r>
      <w:r>
        <w:rPr>
          <w:rFonts w:hint="default" w:ascii="Times New Roman" w:hAnsi="Times New Roman" w:cs="Times New Roman"/>
          <w:kern w:val="0"/>
          <w:sz w:val="24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cs="Times New Roman"/>
          <w:sz w:val="24"/>
          <w:szCs w:val="24"/>
        </w:rPr>
        <w:t>甘，微温。归胃、肝经。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温</w:t>
      </w:r>
      <w:r>
        <w:rPr>
          <w:rFonts w:hint="default" w:ascii="Times New Roman" w:hAnsi="Times New Roman" w:cs="Times New Roman"/>
          <w:sz w:val="24"/>
          <w:szCs w:val="24"/>
        </w:rPr>
        <w:t>胃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消</w:t>
      </w:r>
      <w:r>
        <w:rPr>
          <w:rFonts w:hint="default" w:ascii="Times New Roman" w:hAnsi="Times New Roman" w:cs="Times New Roman"/>
          <w:sz w:val="24"/>
          <w:szCs w:val="24"/>
        </w:rPr>
        <w:t>积，软坚散结，祛风除湿。用于胃脘痛，小儿食积，瘿瘤痰核，风湿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痹</w:t>
      </w:r>
      <w:r>
        <w:rPr>
          <w:rFonts w:hint="default" w:ascii="Times New Roman" w:hAnsi="Times New Roman" w:cs="Times New Roman"/>
          <w:sz w:val="24"/>
          <w:szCs w:val="24"/>
        </w:rPr>
        <w:t>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>～15g。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cs="Times New Roman"/>
          <w:color w:val="000000"/>
          <w:sz w:val="24"/>
        </w:rPr>
        <w:t>置干燥处。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left="210" w:right="210"/>
      </w:pPr>
      <w:r>
        <w:separator/>
      </w:r>
    </w:p>
  </w:endnote>
  <w:endnote w:type="continuationSeparator" w:id="1">
    <w:p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2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BdxysBMCAAAT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left="210" w:right="210"/>
      </w:pPr>
      <w:r>
        <w:separator/>
      </w:r>
    </w:p>
  </w:footnote>
  <w:footnote w:type="continuationSeparator" w:id="1">
    <w:p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F094B"/>
    <w:rsid w:val="000170E5"/>
    <w:rsid w:val="000B2CB4"/>
    <w:rsid w:val="00167D56"/>
    <w:rsid w:val="0017767D"/>
    <w:rsid w:val="00213B15"/>
    <w:rsid w:val="004E0AF7"/>
    <w:rsid w:val="00DD7751"/>
    <w:rsid w:val="00FB6983"/>
    <w:rsid w:val="02E34535"/>
    <w:rsid w:val="050F5B64"/>
    <w:rsid w:val="07C7496C"/>
    <w:rsid w:val="08B35408"/>
    <w:rsid w:val="08C67811"/>
    <w:rsid w:val="08E06C17"/>
    <w:rsid w:val="0A3D0C5A"/>
    <w:rsid w:val="0A7A7043"/>
    <w:rsid w:val="0AB84CE4"/>
    <w:rsid w:val="0C05627A"/>
    <w:rsid w:val="0CB91FC8"/>
    <w:rsid w:val="0CFC3A56"/>
    <w:rsid w:val="0FA82C47"/>
    <w:rsid w:val="10722D87"/>
    <w:rsid w:val="10FC16EA"/>
    <w:rsid w:val="13E34A24"/>
    <w:rsid w:val="158B335F"/>
    <w:rsid w:val="173C4B1A"/>
    <w:rsid w:val="190F094B"/>
    <w:rsid w:val="1AB854CF"/>
    <w:rsid w:val="1B26211B"/>
    <w:rsid w:val="1C5F3784"/>
    <w:rsid w:val="1C7B60E4"/>
    <w:rsid w:val="1E88694E"/>
    <w:rsid w:val="1F72671B"/>
    <w:rsid w:val="200C1947"/>
    <w:rsid w:val="205630F0"/>
    <w:rsid w:val="20936C7D"/>
    <w:rsid w:val="20F73196"/>
    <w:rsid w:val="222E0976"/>
    <w:rsid w:val="232474B6"/>
    <w:rsid w:val="235211FF"/>
    <w:rsid w:val="23524C31"/>
    <w:rsid w:val="25DE53E0"/>
    <w:rsid w:val="26ED25ED"/>
    <w:rsid w:val="286F0317"/>
    <w:rsid w:val="29B91BD0"/>
    <w:rsid w:val="2A714BF7"/>
    <w:rsid w:val="2CEB7DFF"/>
    <w:rsid w:val="2CFE76A0"/>
    <w:rsid w:val="2D377158"/>
    <w:rsid w:val="2D55796B"/>
    <w:rsid w:val="2DCB147E"/>
    <w:rsid w:val="2DF817D1"/>
    <w:rsid w:val="2E185DF9"/>
    <w:rsid w:val="2E6D0BD3"/>
    <w:rsid w:val="2E8C1F5E"/>
    <w:rsid w:val="31F5129D"/>
    <w:rsid w:val="32DB2141"/>
    <w:rsid w:val="33E70D61"/>
    <w:rsid w:val="340534D5"/>
    <w:rsid w:val="36390AE0"/>
    <w:rsid w:val="3740649B"/>
    <w:rsid w:val="387E0FDF"/>
    <w:rsid w:val="390414E4"/>
    <w:rsid w:val="392E7EF2"/>
    <w:rsid w:val="3A032734"/>
    <w:rsid w:val="3A787FB7"/>
    <w:rsid w:val="3DF03936"/>
    <w:rsid w:val="3EA2429F"/>
    <w:rsid w:val="406920BC"/>
    <w:rsid w:val="41553E8A"/>
    <w:rsid w:val="427C23A2"/>
    <w:rsid w:val="42826B57"/>
    <w:rsid w:val="46160745"/>
    <w:rsid w:val="461A3460"/>
    <w:rsid w:val="48002E03"/>
    <w:rsid w:val="486E697A"/>
    <w:rsid w:val="49942402"/>
    <w:rsid w:val="4B1F1ECE"/>
    <w:rsid w:val="4D5E5083"/>
    <w:rsid w:val="4D836F19"/>
    <w:rsid w:val="4D867E3C"/>
    <w:rsid w:val="4E422562"/>
    <w:rsid w:val="4F002C5F"/>
    <w:rsid w:val="4F0F0C81"/>
    <w:rsid w:val="5154285E"/>
    <w:rsid w:val="5160442B"/>
    <w:rsid w:val="52C75604"/>
    <w:rsid w:val="534E7AA4"/>
    <w:rsid w:val="54152355"/>
    <w:rsid w:val="5574619B"/>
    <w:rsid w:val="56B16BDA"/>
    <w:rsid w:val="58117322"/>
    <w:rsid w:val="589D5CBC"/>
    <w:rsid w:val="59927DCB"/>
    <w:rsid w:val="5AAC3DC6"/>
    <w:rsid w:val="5B2C693E"/>
    <w:rsid w:val="5C0A0D68"/>
    <w:rsid w:val="5C573D9B"/>
    <w:rsid w:val="5E5F59CB"/>
    <w:rsid w:val="5E7975DD"/>
    <w:rsid w:val="5F067200"/>
    <w:rsid w:val="5F7E1DC9"/>
    <w:rsid w:val="60BF4FBC"/>
    <w:rsid w:val="62A47F2E"/>
    <w:rsid w:val="6341022B"/>
    <w:rsid w:val="639F2321"/>
    <w:rsid w:val="64F052E8"/>
    <w:rsid w:val="668313EA"/>
    <w:rsid w:val="685933BE"/>
    <w:rsid w:val="693A33DF"/>
    <w:rsid w:val="6CC52F08"/>
    <w:rsid w:val="6D2629E7"/>
    <w:rsid w:val="6ECF3C55"/>
    <w:rsid w:val="70311306"/>
    <w:rsid w:val="709976F3"/>
    <w:rsid w:val="72DE037E"/>
    <w:rsid w:val="744F67A7"/>
    <w:rsid w:val="754D5E80"/>
    <w:rsid w:val="754E1B76"/>
    <w:rsid w:val="76113BC2"/>
    <w:rsid w:val="76BE1335"/>
    <w:rsid w:val="77380C63"/>
    <w:rsid w:val="7AA1462E"/>
    <w:rsid w:val="7AD703D1"/>
    <w:rsid w:val="7D2B78B2"/>
    <w:rsid w:val="7F412996"/>
    <w:rsid w:val="7F9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210" w:leftChars="100" w:right="100" w:rightChars="1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标题"/>
    <w:basedOn w:val="9"/>
    <w:next w:val="9"/>
    <w:qFormat/>
    <w:uiPriority w:val="0"/>
    <w:pPr>
      <w:spacing w:line="240" w:lineRule="auto"/>
    </w:pPr>
    <w:rPr>
      <w:rFonts w:ascii="Times New Roman" w:hAnsi="Times New Roman"/>
      <w:sz w:val="28"/>
      <w:szCs w:val="28"/>
    </w:rPr>
  </w:style>
  <w:style w:type="paragraph" w:customStyle="1" w:styleId="9">
    <w:name w:val="二级标题"/>
    <w:basedOn w:val="2"/>
    <w:next w:val="1"/>
    <w:qFormat/>
    <w:uiPriority w:val="0"/>
    <w:pPr>
      <w:spacing w:before="0" w:after="0" w:line="360" w:lineRule="auto"/>
      <w:ind w:left="100"/>
    </w:pPr>
    <w:rPr>
      <w:sz w:val="24"/>
      <w:szCs w:val="24"/>
    </w:rPr>
  </w:style>
  <w:style w:type="paragraph" w:customStyle="1" w:styleId="10">
    <w:name w:val="自定义正文"/>
    <w:basedOn w:val="1"/>
    <w:qFormat/>
    <w:uiPriority w:val="0"/>
    <w:pPr>
      <w:spacing w:line="360" w:lineRule="auto"/>
      <w:ind w:right="210" w:firstLine="480" w:firstLineChars="200"/>
    </w:pPr>
    <w:rPr>
      <w:rFonts w:ascii="Times New Roman" w:hAnsi="Times New Roman"/>
      <w:sz w:val="24"/>
      <w:szCs w:val="24"/>
    </w:rPr>
  </w:style>
  <w:style w:type="character" w:customStyle="1" w:styleId="11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1647</Words>
  <Characters>1969</Characters>
  <Lines>14</Lines>
  <Paragraphs>4</Paragraphs>
  <TotalTime>0</TotalTime>
  <ScaleCrop>false</ScaleCrop>
  <LinksUpToDate>false</LinksUpToDate>
  <CharactersWithSpaces>1995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2025-07-10T19:21:00Z</dcterms:created>
  <dc:creator>君</dc:creator>
  <cp:lastModifiedBy>gxxc</cp:lastModifiedBy>
  <cp:lastPrinted>2025-10-11T23:37:00Z</cp:lastPrinted>
  <dcterms:modified xsi:type="dcterms:W3CDTF">2025-12-25T10:40:59Z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D718EAD8158340A68CF93C54A7287934_13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